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96DBB" w:rsidTr="000949FD">
        <w:trPr>
          <w:trHeight w:hRule="exact" w:val="1950"/>
        </w:trPr>
        <w:tc>
          <w:tcPr>
            <w:tcW w:w="10314" w:type="dxa"/>
          </w:tcPr>
          <w:p w:rsidR="00B42BD2" w:rsidRDefault="00BD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IĞDIR VALİLİĞİ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İl Planlama ve Koordinasyon Müdürlüğü</w:t>
            </w:r>
          </w:p>
        </w:tc>
      </w:tr>
    </w:tbl>
    <w:p w:rsidR="00B42BD2" w:rsidRDefault="00BD6E21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857250" cy="857250"/>
            <wp:effectExtent l="0" t="0" r="0" b="0"/>
            <wp:wrapNone/>
            <wp:docPr id="4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5778250</wp:posOffset>
            </wp:positionH>
            <wp:positionV relativeFrom="page">
              <wp:posOffset>180000</wp:posOffset>
            </wp:positionV>
            <wp:extent cx="1238250" cy="1238250"/>
            <wp:effectExtent l="0" t="0" r="0" b="0"/>
            <wp:wrapNone/>
            <wp:docPr id="1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DBB" w:rsidRPr="00333CC5" w:rsidRDefault="00B96DBB" w:rsidP="001C6F35">
      <w:pPr>
        <w:spacing w:before="40" w:after="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DAĞITIMLI</w:t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94"/>
        <w:gridCol w:w="2220"/>
        <w:gridCol w:w="2955"/>
      </w:tblGrid>
      <w:tr w:rsidR="001C6654" w:rsidTr="00F426E6">
        <w:tc>
          <w:tcPr>
            <w:tcW w:w="71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:</w:t>
            </w:r>
          </w:p>
        </w:tc>
        <w:tc>
          <w:tcPr>
            <w:tcW w:w="439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E-29249760-010.06.01-23554</w:t>
            </w:r>
          </w:p>
        </w:tc>
        <w:tc>
          <w:tcPr>
            <w:tcW w:w="222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71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:</w:t>
            </w:r>
          </w:p>
        </w:tc>
        <w:tc>
          <w:tcPr>
            <w:tcW w:w="4394" w:type="dxa"/>
          </w:tcPr>
          <w:p w:rsidR="00B42BD2" w:rsidRDefault="00BD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Iğdır İli 2023-2025 Dönemi Yatırım Programının Uygulanması, Koordinasyonu ve İzlenmesi Esasları (Genelge No:2022/15</w:t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949FD" w:rsidTr="000949FD">
        <w:tc>
          <w:tcPr>
            <w:tcW w:w="10314" w:type="dxa"/>
          </w:tcPr>
          <w:p w:rsidR="00B42BD2" w:rsidRDefault="00BD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DAĞITIM YERLERİNE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BD2" w:rsidRDefault="00BD6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&quot;Times New Roman&quot;" w:hAnsi="&quot;Times New Roman&quot;"/>
          <w:color w:val="000000"/>
          <w:sz w:val="24"/>
          <w:szCs w:val="24"/>
        </w:rPr>
        <w:t>GENELGE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&quot;CIDFont&quot;" w:hAnsi="&quot;CIDFont&quot;"/>
          <w:color w:val="000000"/>
          <w:sz w:val="24"/>
          <w:szCs w:val="24"/>
        </w:rPr>
        <w:t>2023/1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42BD2" w:rsidRDefault="00BD6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CIDFont&quot;" w:hAnsi="&quot;CIDFont&quot;"/>
          <w:color w:val="000000"/>
          <w:sz w:val="24"/>
          <w:szCs w:val="24"/>
        </w:rPr>
        <w:t>        2023 Yılı Yatırım Programının Kabulü ve Uygulanması Cumhurbaşkanı Kararı 14 Eylül 2022 tarih ve 31953 sayılı Mükerrer Resmi Gazete’ de  Yatırımcı Kuruluşlarımız 2023-2025 Dönemi Yatırım Programı Hazırlama Rehberi  yayımlanmıştır.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&quot;CIDFont&quot;" w:hAnsi="&quot;CIDFont&quot;"/>
          <w:color w:val="000000"/>
          <w:sz w:val="24"/>
          <w:szCs w:val="24"/>
        </w:rPr>
        <w:t>        2019-2023</w:t>
      </w:r>
      <w:r>
        <w:rPr>
          <w:rFonts w:ascii="&quot;CIDFont&quot;" w:hAnsi="&quot;CIDFont&quot;"/>
          <w:color w:val="000000"/>
          <w:sz w:val="24"/>
          <w:szCs w:val="24"/>
        </w:rPr>
        <w:t xml:space="preserve"> döneminde 11.Kalkınma Planı uygulanmaktadır. Bu dönemde makro ekonomik istikrarı korumak, üretimi artırmak, kamu harcamalarında tasarrufu   sağlamak temel önceliklerimizdir.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&quot;CIDFont&quot;" w:hAnsi="&quot;CIDFont&quot;"/>
          <w:color w:val="000000"/>
          <w:sz w:val="24"/>
          <w:szCs w:val="24"/>
        </w:rPr>
        <w:t xml:space="preserve">        Yatırım Programı hazırlıklarında, 2023-2025 dönemi Orta Vadeli Program </w:t>
      </w:r>
      <w:r>
        <w:rPr>
          <w:rFonts w:ascii="&quot;CIDFont&quot;" w:hAnsi="&quot;CIDFont&quot;"/>
          <w:color w:val="000000"/>
          <w:sz w:val="24"/>
          <w:szCs w:val="24"/>
        </w:rPr>
        <w:t>da yer alan amaç, politikalar ve öncelikler mali çerçeve esas alınacaktır. Ayrıca Orta Vadeli Program ile uyumlu olmak kaydıyla, kamu idarelerinin strateji planları da hazırlıklarda dikkate alınacaktır.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&quot;CIDFont&quot;" w:hAnsi="&quot;CIDFont&quot;"/>
          <w:color w:val="000000"/>
          <w:sz w:val="24"/>
          <w:szCs w:val="24"/>
        </w:rPr>
        <w:t>        Proje bazında ödenek, teklif  ve tahsislerin</w:t>
      </w:r>
      <w:r>
        <w:rPr>
          <w:rFonts w:ascii="&quot;CIDFont&quot;" w:hAnsi="&quot;CIDFont&quot;"/>
          <w:color w:val="000000"/>
          <w:sz w:val="24"/>
          <w:szCs w:val="24"/>
        </w:rPr>
        <w:t>de; devam eden öncellikli projelerden en kısa zamanda tamamlanacak olanlara öncelik verilecektir.Tasarruf tedbirleri kapsamında zorunlu haller dışında 2023 Yılı Yatırım Programı'na yeni proje alınmayacaktır.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&quot;CIDFont&quot;" w:hAnsi="&quot;CIDFont&quot;"/>
          <w:color w:val="000000"/>
          <w:sz w:val="24"/>
          <w:szCs w:val="24"/>
        </w:rPr>
        <w:t>        2023 yılında kurumlarımıza tahsis edile</w:t>
      </w:r>
      <w:r>
        <w:rPr>
          <w:rFonts w:ascii="&quot;CIDFont&quot;" w:hAnsi="&quot;CIDFont&quot;"/>
          <w:color w:val="000000"/>
          <w:sz w:val="24"/>
          <w:szCs w:val="24"/>
        </w:rPr>
        <w:t>n proje ödeneklerinin zamanında amacına uygun kullanılması gerekmektedir. Projelerin yürütülmesinde kuruluşların birinci derecedeki amirleri sorumludur.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       İl Koordinasyon Kurul Toplantıları: Ocak, Nisan, Temmuz ve Ekim aylarında yılda 4 kez yapılır.</w:t>
      </w:r>
      <w:r>
        <w:rPr>
          <w:rFonts w:ascii="Times New Roman" w:hAnsi="Times New Roman" w:cs="Times New Roman"/>
          <w:sz w:val="24"/>
          <w:szCs w:val="24"/>
        </w:rPr>
        <w:t>Toplantı tarihleri İçişleri Bakanlığı Strateji Daire Başkanlığınca belirlenir.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       </w:t>
      </w:r>
      <w:r>
        <w:rPr>
          <w:rFonts w:ascii="Times New Roman" w:hAnsi="Times New Roman" w:cs="Times New Roman"/>
          <w:b/>
          <w:sz w:val="24"/>
          <w:szCs w:val="24"/>
        </w:rPr>
        <w:t>İL KOORDİNASYON KURUL TOPLANTILARI: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        </w:t>
      </w:r>
      <w:r>
        <w:rPr>
          <w:rFonts w:ascii="Times New Roman" w:hAnsi="Times New Roman" w:cs="Times New Roman"/>
          <w:b/>
          <w:sz w:val="24"/>
          <w:szCs w:val="24"/>
        </w:rPr>
        <w:t>1- 25 Ocak 2023 Çarşamba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        2- 26 Nisan 2023 Çarşamba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        3- 19Temmuz 2023 Çarşamba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        4- 18 Ekim 2023 Çarşamba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>Toplantı tarihinde değişiklik olması halinde kurumlara bilgi verilecektir.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       İl Koordinasyon Kurul Toplantılarına İlçe Kaymakamları, Yatırımcı Kuruluşların Bölge Müdürleri, İl Müdürleri, İl, İlçe ve Belde Be</w:t>
      </w:r>
      <w:r>
        <w:rPr>
          <w:rFonts w:ascii="Times New Roman" w:hAnsi="Times New Roman" w:cs="Times New Roman"/>
          <w:sz w:val="24"/>
          <w:szCs w:val="24"/>
        </w:rPr>
        <w:t>lediye Başkanları bizzat hazırlıklı olarak katılacaklardır. Ancak Kanuni mazeretleri nedeniyle toplantıya katılamayacak olanlar, yerlerine vekil olarak görevlendirdikleri  kişilerin isimlerini Valilik Makamına  3 gün önceden resmi yazı ile bildireceklerdir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&quot;CIDFont&quot;" w:hAnsi="&quot;CIDFont&quot;"/>
          <w:color w:val="000000"/>
          <w:sz w:val="24"/>
          <w:szCs w:val="24"/>
        </w:rPr>
        <w:t>İl Koordinasyon Kurulu Toplantısı için hazırlanan veriler   15 gün önce Valiliğimize gönderilecektir.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&quot;CIDFont&quot;" w:hAnsi="&quot;CIDFont&quot;"/>
          <w:color w:val="000000"/>
          <w:sz w:val="24"/>
          <w:szCs w:val="24"/>
        </w:rPr>
        <w:t>        Kamu Yatırımlarına ait  Projeler Yatırım Takip Sistemi olan  (İLYAS) üzerinden takip edilmektedir. İLYAS'a  ait  veri girişleri yapılırken 2022</w:t>
      </w:r>
      <w:r>
        <w:rPr>
          <w:rFonts w:ascii="&quot;CIDFont&quot;" w:hAnsi="&quot;CIDFont&quot;"/>
          <w:color w:val="000000"/>
          <w:sz w:val="24"/>
          <w:szCs w:val="24"/>
        </w:rPr>
        <w:t xml:space="preserve"> yılında bitirilen ve 2023 yılında devam etmeyecek tüm projeler   bitti ve pasif olarak güncellenmesi gerekmektedir.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&quot;CIDFont&quot;" w:hAnsi="&quot;CIDFont&quot;"/>
          <w:color w:val="000000"/>
          <w:sz w:val="24"/>
          <w:szCs w:val="24"/>
        </w:rPr>
        <w:t>      </w:t>
      </w:r>
    </w:p>
    <w:p w:rsidR="00B42BD2" w:rsidRDefault="00BD6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CIDFont&quot;" w:hAnsi="&quot;CIDFont&quot;"/>
          <w:color w:val="000000"/>
          <w:sz w:val="24"/>
          <w:szCs w:val="24"/>
        </w:rPr>
        <w:t>        Yukarıda belirtilen  hususlar doğrultusunda  bilgi ve gereğini arz ve rica ederim.</w:t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</w:tblGrid>
      <w:tr w:rsidR="00B96DBB" w:rsidTr="001C6F35">
        <w:trPr>
          <w:jc w:val="right"/>
        </w:trPr>
        <w:tc>
          <w:tcPr>
            <w:tcW w:w="0" w:type="auto"/>
          </w:tcPr>
          <w:p w:rsidR="00B42BD2" w:rsidRDefault="00BD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Abdulkadir  ŞAHİN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Vali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DAĞITIM 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0949FD" w:rsidTr="000949FD">
        <w:tc>
          <w:tcPr>
            <w:tcW w:w="4606" w:type="dxa"/>
          </w:tcPr>
          <w:p w:rsidR="000949FD" w:rsidRDefault="000949FD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Gereği: </w:t>
            </w:r>
          </w:p>
        </w:tc>
        <w:tc>
          <w:tcPr>
            <w:tcW w:w="4606" w:type="dxa"/>
          </w:tcPr>
          <w:p w:rsidR="000949FD" w:rsidRDefault="000949FD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Bilgi:</w:t>
            </w:r>
          </w:p>
        </w:tc>
      </w:tr>
      <w:tr w:rsidR="000949FD" w:rsidTr="000949FD">
        <w:tc>
          <w:tcPr>
            <w:tcW w:w="4606" w:type="dxa"/>
          </w:tcPr>
          <w:p w:rsidR="00B42BD2" w:rsidRDefault="00BD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KAYMAKAMLIKLAR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İLİMİZDEKİ KAMU KURUM 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KURULUŞLARINA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İL, İLÇE BELDE VE BELEDİYE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BAŞKANLIKLARI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BÖLGE MÜDÜRLÜKLERİ</w:t>
            </w:r>
          </w:p>
        </w:tc>
        <w:tc>
          <w:tcPr>
            <w:tcW w:w="4606" w:type="dxa"/>
          </w:tcPr>
          <w:p w:rsidR="00B42BD2" w:rsidRDefault="00BD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İÇİŞLERİ BAKANLIĞINA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(Strateji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Geliştirme Başkanlığı)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ERZURUM VALİLİĞİ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KARS VALİLİĞİ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AĞRI VALİLİĞİ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IĞDIR ÖZEL KALEM MÜDÜRLÜ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CUMHURBAŞKANLIĞI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(Strateji ve Bütçe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Başkanlığına</w:t>
            </w:r>
          </w:p>
        </w:tc>
      </w:tr>
    </w:tbl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9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21" w:rsidRDefault="00BD6E21" w:rsidP="00B96DBB">
      <w:pPr>
        <w:spacing w:after="0" w:line="240" w:lineRule="auto"/>
      </w:pPr>
      <w:r>
        <w:separator/>
      </w:r>
    </w:p>
  </w:endnote>
  <w:endnote w:type="continuationSeparator" w:id="0">
    <w:p w:rsidR="00BD6E21" w:rsidRDefault="00BD6E21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&quot;CIDFont&quot;">
    <w:altName w:val="Cambria"/>
    <w:panose1 w:val="00000000000000000000"/>
    <w:charset w:val="00"/>
    <w:family w:val="roman"/>
    <w:notTrueType/>
    <w:pitch w:val="default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2" w:rsidRDefault="00BD6E21">
    <w:pPr>
      <w:spacing w:after="0" w:line="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2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B42BD2">
      <w:trPr>
        <w:tblCellSpacing w:w="0" w:type="dxa"/>
      </w:trPr>
      <w:tc>
        <w:tcPr>
          <w:tcW w:w="0" w:type="auto"/>
          <w:vAlign w:val="center"/>
        </w:tcPr>
        <w:p w:rsidR="00B42BD2" w:rsidRDefault="00BD6E21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18"/>
              <w:szCs w:val="18"/>
            </w:rPr>
            <w:t>Bu belge, güvenli elektronik imza ile imzalanmıştır.</w:t>
          </w:r>
        </w:p>
      </w:tc>
    </w:tr>
    <w:tr w:rsidR="00B42BD2">
      <w:trPr>
        <w:tblCellSpacing w:w="0" w:type="dxa"/>
      </w:trPr>
      <w:tc>
        <w:tcPr>
          <w:tcW w:w="0" w:type="auto"/>
          <w:vAlign w:val="center"/>
        </w:tcPr>
        <w:p w:rsidR="00B42BD2" w:rsidRDefault="00BD6E21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SedBFw-Lus4Xl-WQDqcf-sqc/JE-iQjDpKbI Doğrulama Linki: https://www.turkiye.gov.tr/icisleri-ebys</w:t>
          </w:r>
        </w:p>
      </w:tc>
    </w:tr>
  </w:tbl>
  <w:p w:rsidR="00B42BD2" w:rsidRDefault="00B42BD2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23"/>
      <w:gridCol w:w="2960"/>
      <w:gridCol w:w="1123"/>
    </w:tblGrid>
    <w:tr w:rsidR="00B42BD2">
      <w:trPr>
        <w:tblCellSpacing w:w="0" w:type="dxa"/>
      </w:trPr>
      <w:tc>
        <w:tcPr>
          <w:tcW w:w="3000" w:type="pct"/>
        </w:tcPr>
        <w:p w:rsidR="00B42BD2" w:rsidRDefault="00BD6E21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Hükümet Konağı Kat 3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 (476)227 71 79  Dahili: 8 Faks No: (476)227 66 26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76planlama@icisleri.gov.tr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https://www.e-icisleri.gov.tr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icisleribakanligi@hs01.kep.tr</w:t>
          </w:r>
        </w:p>
      </w:tc>
      <w:tc>
        <w:tcPr>
          <w:tcW w:w="1450" w:type="pct"/>
        </w:tcPr>
        <w:p w:rsidR="00B42BD2" w:rsidRDefault="00BD6E21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Zemine GÜVENAL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Verı Hazırlama Ve Kont.İşletmeni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Telefon No: </w:t>
          </w:r>
        </w:p>
      </w:tc>
      <w:tc>
        <w:tcPr>
          <w:tcW w:w="550" w:type="pct"/>
        </w:tcPr>
        <w:p w:rsidR="00B42BD2" w:rsidRDefault="00B42BD2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3A3A92">
      <w:rPr>
        <w:rFonts w:ascii="Times New Roman" w:hAnsi="Times New Roman" w:cs="Times New Roman"/>
        <w:sz w:val="24"/>
        <w:szCs w:val="24"/>
      </w:rPr>
      <w:fldChar w:fldCharType="separate"/>
    </w:r>
    <w:r w:rsidR="003A3A92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="003A3A92">
      <w:rPr>
        <w:rFonts w:ascii="Times New Roman" w:hAnsi="Times New Roman" w:cs="Times New Roman"/>
        <w:sz w:val="24"/>
        <w:szCs w:val="24"/>
      </w:rPr>
      <w:fldChar w:fldCharType="separate"/>
    </w:r>
    <w:r w:rsidR="003A3A92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21" w:rsidRDefault="00BD6E21" w:rsidP="00B96DBB">
      <w:pPr>
        <w:spacing w:after="0" w:line="240" w:lineRule="auto"/>
      </w:pPr>
      <w:r>
        <w:separator/>
      </w:r>
    </w:p>
  </w:footnote>
  <w:footnote w:type="continuationSeparator" w:id="0">
    <w:p w:rsidR="00BD6E21" w:rsidRDefault="00BD6E21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BCD786">
      <w:numFmt w:val="decimal"/>
      <w:lvlText w:val=""/>
      <w:lvlJc w:val="left"/>
    </w:lvl>
    <w:lvl w:ilvl="2" w:tplc="D3643060">
      <w:numFmt w:val="decimal"/>
      <w:lvlText w:val=""/>
      <w:lvlJc w:val="left"/>
    </w:lvl>
    <w:lvl w:ilvl="3" w:tplc="2AF66860">
      <w:numFmt w:val="decimal"/>
      <w:lvlText w:val=""/>
      <w:lvlJc w:val="left"/>
    </w:lvl>
    <w:lvl w:ilvl="4" w:tplc="9932A484">
      <w:numFmt w:val="decimal"/>
      <w:lvlText w:val=""/>
      <w:lvlJc w:val="left"/>
    </w:lvl>
    <w:lvl w:ilvl="5" w:tplc="C5AAA69E">
      <w:numFmt w:val="decimal"/>
      <w:lvlText w:val=""/>
      <w:lvlJc w:val="left"/>
    </w:lvl>
    <w:lvl w:ilvl="6" w:tplc="A6628B80">
      <w:numFmt w:val="decimal"/>
      <w:lvlText w:val=""/>
      <w:lvlJc w:val="left"/>
    </w:lvl>
    <w:lvl w:ilvl="7" w:tplc="28686D2C">
      <w:numFmt w:val="decimal"/>
      <w:lvlText w:val=""/>
      <w:lvlJc w:val="left"/>
    </w:lvl>
    <w:lvl w:ilvl="8" w:tplc="A69E758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B"/>
    <w:rsid w:val="000949FD"/>
    <w:rsid w:val="00182DA1"/>
    <w:rsid w:val="001C6654"/>
    <w:rsid w:val="001C6F35"/>
    <w:rsid w:val="003A3A92"/>
    <w:rsid w:val="00A52013"/>
    <w:rsid w:val="00AF2596"/>
    <w:rsid w:val="00B42BD2"/>
    <w:rsid w:val="00B81885"/>
    <w:rsid w:val="00B96DBB"/>
    <w:rsid w:val="00BD6E21"/>
    <w:rsid w:val="00C320B6"/>
    <w:rsid w:val="00CF47BF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936DD-4F11-4CF8-86FA-4E3CBFE7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Zemine GÜVENAL</dc:creator>
  <cp:lastModifiedBy>Turgut TURAN</cp:lastModifiedBy>
  <cp:revision>2</cp:revision>
  <dcterms:created xsi:type="dcterms:W3CDTF">2023-02-22T10:31:00Z</dcterms:created>
  <dcterms:modified xsi:type="dcterms:W3CDTF">2023-02-22T10:31:00Z</dcterms:modified>
</cp:coreProperties>
</file>